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6CC951B8" w:rsidR="00DE0527" w:rsidRDefault="00E40DC4">
      <w:pPr>
        <w:rPr>
          <w:rFonts w:ascii="Open Sans" w:hAnsi="Open Sans" w:cs="Open Sans"/>
          <w:i/>
          <w:iCs/>
          <w:color w:val="000000"/>
          <w:sz w:val="21"/>
          <w:szCs w:val="21"/>
          <w:shd w:val="clear" w:color="auto" w:fill="FFFFFF"/>
        </w:rPr>
      </w:pPr>
      <w:r>
        <w:rPr>
          <w:rFonts w:ascii="Open Sans" w:hAnsi="Open Sans" w:cs="Open Sans"/>
          <w:i/>
          <w:iCs/>
          <w:color w:val="000000"/>
          <w:sz w:val="21"/>
          <w:szCs w:val="21"/>
          <w:shd w:val="clear" w:color="auto" w:fill="FFFFFF"/>
        </w:rPr>
        <w:t>Per la distribuzione a livello globale, esclusi Nord America e Cina: agosto 2023</w:t>
      </w:r>
      <w:r>
        <w:rPr>
          <w:rFonts w:ascii="Open Sans" w:hAnsi="Open Sans" w:cs="Open Sans"/>
          <w:i/>
          <w:iCs/>
          <w:color w:val="000000"/>
          <w:sz w:val="21"/>
          <w:szCs w:val="21"/>
          <w:shd w:val="clear" w:color="auto" w:fill="FFFFFF"/>
        </w:rPr>
        <w:br/>
        <w:t>Numero comunicato: 243PR23</w:t>
      </w:r>
    </w:p>
    <w:p w14:paraId="0251043F" w14:textId="77777777" w:rsidR="00E40DC4" w:rsidRDefault="00E40DC4">
      <w:pPr>
        <w:rPr>
          <w:color w:val="000000"/>
        </w:rPr>
      </w:pPr>
    </w:p>
    <w:p w14:paraId="7160D622" w14:textId="77777777" w:rsidR="00E40DC4" w:rsidRPr="00E40DC4" w:rsidRDefault="00E40DC4" w:rsidP="00E40DC4">
      <w:pPr>
        <w:pStyle w:val="Heading1"/>
        <w:shd w:val="clear" w:color="auto" w:fill="FFFFFF"/>
        <w:rPr>
          <w:rFonts w:ascii="Roboto Condensed Bold" w:hAnsi="Roboto Condensed Bold"/>
          <w:color w:val="000000"/>
          <w:sz w:val="56"/>
          <w:szCs w:val="96"/>
        </w:rPr>
      </w:pPr>
      <w:r w:rsidRPr="00E40DC4">
        <w:rPr>
          <w:rFonts w:ascii="Roboto Condensed Bold" w:hAnsi="Roboto Condensed Bold"/>
          <w:color w:val="000000"/>
          <w:sz w:val="32"/>
          <w:szCs w:val="40"/>
        </w:rPr>
        <w:t>Garantendo costi di manutenzione e combustibile ridotti, la nuova pala gommata Cat® 988 GC raggiunge i target di produzione a un costo orario basso</w:t>
      </w:r>
    </w:p>
    <w:p w14:paraId="6DAD0E7E" w14:textId="77777777" w:rsidR="00DE0527" w:rsidRDefault="00DE0527"/>
    <w:p w14:paraId="0C340FB6"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nuova pala gommata </w:t>
      </w:r>
      <w:hyperlink r:id="rId10" w:history="1">
        <w:r>
          <w:rPr>
            <w:rStyle w:val="Hyperlink"/>
            <w:rFonts w:ascii="Open Sans" w:hAnsi="Open Sans" w:cs="Open Sans"/>
            <w:color w:val="2679B8"/>
            <w:sz w:val="21"/>
            <w:szCs w:val="21"/>
          </w:rPr>
          <w:t>Cat</w:t>
        </w:r>
        <w:r>
          <w:rPr>
            <w:rStyle w:val="Hyperlink"/>
            <w:rFonts w:ascii="Open Sans" w:hAnsi="Open Sans" w:cs="Open Sans"/>
            <w:color w:val="2679B8"/>
            <w:sz w:val="16"/>
            <w:szCs w:val="16"/>
            <w:vertAlign w:val="superscript"/>
          </w:rPr>
          <w:t>®</w:t>
        </w:r>
        <w:r>
          <w:rPr>
            <w:rStyle w:val="Hyperlink"/>
            <w:rFonts w:ascii="Open Sans" w:hAnsi="Open Sans" w:cs="Open Sans"/>
            <w:color w:val="2679B8"/>
            <w:sz w:val="21"/>
            <w:szCs w:val="21"/>
          </w:rPr>
          <w:t> 988 GC</w:t>
        </w:r>
      </w:hyperlink>
      <w:r>
        <w:rPr>
          <w:rFonts w:ascii="Open Sans" w:hAnsi="Open Sans" w:cs="Open Sans"/>
          <w:color w:val="000000"/>
          <w:sz w:val="21"/>
          <w:szCs w:val="21"/>
        </w:rPr>
        <w:t> assicura affidabilità ed efficienza operative, consentendo ai clienti di movimentare più materiale a un costo orario inferiore per un ritorno sugli investimenti più rapido. La nuova pala assicura una riduzione fino al 5% del consumo di combustibile e una riduzione fino al 15% dei costi di manutenzione rispetto al modello Cat 988K. Progettata per ottimizzare il valore del ciclo di vita in applicazioni con volumi produttivi medi fino a 2.000 ore l'anno, la pala gommata 988 GC è in grado di garantire una produzione entro il 6% del modello 988K nelle operazioni di carico dei dumper.  </w:t>
      </w:r>
    </w:p>
    <w:p w14:paraId="444B6A0C"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Facile da manovrare e mantenere, la nuova pala gommata 988 GC è ottimizzata come pala per dumper da 45 tonnellate (50 tonnellate USA). L'altezza di scarico di 3.909 mm (12,8 ft) è garanzia di efficienza anche nel carico dei dumper Cat 775G. Con il carico utile della benna abbinato alla pala gommata 988K, la nuova 988 GC offre fino a 670 tonnellate/ora (740 tonnellate USA/ora) di produttività nelle operazioni di carico dei dumper con roccia frantumata e fino a 527 tonnellate/ora (581 tonnellate USA/ora) nelle operazioni di carico e trasporto.</w:t>
      </w:r>
    </w:p>
    <w:p w14:paraId="1C30194A"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Le strutture altamente durevoli della nuova pala gommata sono costruite per più cicli di vita e per resistere alle condizioni di carico più difficili. Costruito sulla piattaforma comune delle pale gommate grandi Cat, il telaio posteriore a sezioni scatolate resiste alle forze di torsione e agli urti torsionali. Il telaio anteriore è stato riprogettato per resistere a carichi maggiori e vanta un braccio di sollevamento di nuova progettazione.</w:t>
      </w:r>
    </w:p>
    <w:p w14:paraId="7C46F7EF"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Affidabilità ed efficienza</w:t>
      </w:r>
    </w:p>
    <w:p w14:paraId="49A273AD"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L'affidabilità e l'efficienza sono elementi essenziali della nuova pala gommata 988 GC con il motore Cat C15 collaudato sul campo, le cui configurazioni assicurano la conformità ai requisiti degli standard sulle emissioni EU Stage IIIA / U.S. EPA Tier 3 o EU Stage V / U.S. EPA Tier 4 Final. Il pacchetto di raffreddamento della pala gommata 988 GC assicura una dispersione del calore superiore con una strategia di ventilazione a velocità variabile e due impostazioni di velocità per configurazioni standard e per temperature ambiente elevate.  </w:t>
      </w:r>
    </w:p>
    <w:p w14:paraId="783C8464"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Il convertitore di coppia Cat con frizione di blocco di serie elimina le perdite, riduce il calore del sistema, migliora i tempi di traslazione e riduce i cicli nelle operazioni di carico e trasporto. </w:t>
      </w:r>
      <w:r>
        <w:rPr>
          <w:rFonts w:ascii="Open Sans" w:hAnsi="Open Sans" w:cs="Open Sans"/>
          <w:color w:val="000000"/>
          <w:sz w:val="21"/>
          <w:szCs w:val="21"/>
        </w:rPr>
        <w:lastRenderedPageBreak/>
        <w:t>Prolungando la vita utile e agevolando la manutenzione, i freni a disco in bagno d'olio Cat assicurano prestazioni e dissipazione del calore superiori.</w:t>
      </w:r>
    </w:p>
    <w:p w14:paraId="44AFFAA5"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Progettata in modo specifico per i cantieri minerari, la trasmissione Cat APECS (Advanced Power Electronic Control Strategy) offre prestazioni eccellenti con cambi marcia fluidi nonché miglioramenti costanti all'efficienza, alla produttività e alla durata. Lo slancio in avanti e la coppia vengono manutenuti durante i cambi marcia per assicurare slancio maggiore in pendenza. Il pedale di disinserimento della trasmissione prolunga la durata dei freni di servizio e assicura la massima potenza durante le operazioni di carico stazionarie.</w:t>
      </w:r>
    </w:p>
    <w:p w14:paraId="2E2F71C5"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L'impianto idraulico con load sensing indirizza il flusso del liquido idraulico verso l'attrezzatura e l'impianto dello sterzo solo quando richiesto per ottimizzare le prestazioni e l'efficienza della nuova 988 GC. Ottimo per le operazioni di carico e trasporto, il controllo dell'assetto a richiesta aggiunge un accumulatore ausiliario al circuito di sollevamento per una guida più fluida.</w:t>
      </w:r>
    </w:p>
    <w:p w14:paraId="6D2C66A2"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Operazione semplice e confortevole</w:t>
      </w:r>
    </w:p>
    <w:p w14:paraId="5B6A4D69"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massima reattività della macchina è assicurata grazie allo sterzo STIC™ (Steering and Integrated Control) che garantisce operazioni più silenziose del 47%. Il sedile Comfort Cat serie III con console di comando integrata che si muove con il sedile assicura comfort superiore e riduce la fatica dell'operatore. L'operatività è agevolata grazie a un'interfaccia dell'operatore intuitiva, un display touchscreen e comandi dell'attrezzatura fluidi e di facile utilizzo. Il ritorno delle vibrazioni della macchina all'operatore è ridotto dai supporti ammortizzanti della cabina e dalle sospensioni pneumatiche del sedile. Inoltre, il sistema di riscaldamento e raffreddamento ad aria a richiesta per il sedile assicura all'operatore un comfort superiore.</w:t>
      </w:r>
    </w:p>
    <w:p w14:paraId="18289907"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Semplici tecnologie integrate contribuiscono ad aumentare l'efficienza e la produttività della pala gommata 988 GC. Monitorando, gestendo e migliorando le operazioni del cantiere, Product Link™ offre accesso wireless ai dati operativi essenziali per analisi approfondite del funzionamento della macchina. La telecamera retrovisiva Cat di serie migliora la visibilità dietro la pala gommata 988 GC, consentendo all'operatore di lavorare sicuro e protetto. Per proteggere le persone e le risorse, la pala gommata 988 GC può essere dotato della tecnologia Cat Detect che migliora la consapevolezza dell'ambiente intorno all'attrezzatura.</w:t>
      </w:r>
    </w:p>
    <w:p w14:paraId="688359E3"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costruzione del braccio di sollevamento anteriore con barra a Z assicura un'eccellente visibilità sui bordi della benna e sull'area di lavoro per semplificare le operazioni. Il carico utile della benna è allineato ai modelli 988K con una gamma di benne serie Performance Cat disponibili con capacità comprese tra 6,3 e 7,6 m</w:t>
      </w:r>
      <w:r>
        <w:rPr>
          <w:rFonts w:ascii="Open Sans" w:hAnsi="Open Sans" w:cs="Open Sans"/>
          <w:color w:val="000000"/>
          <w:sz w:val="16"/>
          <w:szCs w:val="16"/>
          <w:vertAlign w:val="superscript"/>
        </w:rPr>
        <w:t>3</w:t>
      </w:r>
      <w:r>
        <w:rPr>
          <w:rFonts w:ascii="Open Sans" w:hAnsi="Open Sans" w:cs="Open Sans"/>
          <w:color w:val="000000"/>
          <w:sz w:val="21"/>
          <w:szCs w:val="21"/>
        </w:rPr>
        <w:t> (tra 8,3 e 10 yd</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121C4A16"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Visualizzando i dati in tempo reale per migliorare la produttività e ridurre il sovraccarico, la funzionalità Cat Payload a richiesta assicura la pesatura durante il tragitto* per i materiali trasportati e caricati. L'abbonamento Advanced Productivity a richiesta fornisce informazioni complete e fruibili per gestire e migliorare la produttività e la redditività operative.</w:t>
      </w:r>
    </w:p>
    <w:p w14:paraId="6252E1B1"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lastRenderedPageBreak/>
        <w:t>Manutenzione ridotta</w:t>
      </w:r>
    </w:p>
    <w:p w14:paraId="20A929E1"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costruzione della nuova pala gommata include funzionalità per aumentare i tempi di attività della macchina e ridurre i costi di manutenzione fino al 15% rispetto al modello 988K. L'avanzato sistema di filtrazione migliora le prestazioni e l'affidabilità dell'impianto idraulico. L'accesso a terra o da piattaforma ai punti di manutenzione raggruppati è garanzia di praticità per gli addetti alla manutenzione. Trovandosi su entrambi i lati del vano motore, gli sportelli agevolano l'accesso ai controlli di servizi quotidiani importanti. I punti di ingrassaggio centralizzati e gli indicatori di livello, entrambi a terra, semplificano l'ingrassaggio e i controlli del livello di olio quotidiani per i sistemi della macchina principali.</w:t>
      </w:r>
    </w:p>
    <w:p w14:paraId="14B869C4"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diagnostica di bordo avvisa l'operatore dei problemi della macchina in modo che possano essere risolti prima che si trasformino in guasti. Le informazioni acquisite da Product Link possono essere monitorate a distanza tramite my.cat.com, l'app Cat o VisionLink</w:t>
      </w:r>
      <w:r>
        <w:rPr>
          <w:rFonts w:ascii="Open Sans" w:hAnsi="Open Sans" w:cs="Open Sans"/>
          <w:color w:val="000000"/>
          <w:sz w:val="16"/>
          <w:szCs w:val="16"/>
          <w:vertAlign w:val="superscript"/>
        </w:rPr>
        <w:t>®</w:t>
      </w:r>
      <w:r>
        <w:rPr>
          <w:rFonts w:ascii="Open Sans" w:hAnsi="Open Sans" w:cs="Open Sans"/>
          <w:color w:val="000000"/>
          <w:sz w:val="21"/>
          <w:szCs w:val="21"/>
        </w:rPr>
        <w:t> per migliorare ulteriormente l'efficienza in fase di assistenza e manutenzione preventiva.</w:t>
      </w:r>
    </w:p>
    <w:p w14:paraId="01BE538E"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Ulteriori informazioni sulla nuova pala gommata Cat 988 GC sono reperibili contattando un dealer Cat o visitando </w:t>
      </w:r>
      <w:hyperlink r:id="rId11" w:tgtFrame="_self" w:history="1">
        <w:r>
          <w:rPr>
            <w:rStyle w:val="Hyperlink"/>
            <w:rFonts w:ascii="Open Sans" w:hAnsi="Open Sans" w:cs="Open Sans"/>
            <w:color w:val="2679B8"/>
            <w:sz w:val="21"/>
            <w:szCs w:val="21"/>
          </w:rPr>
          <w:t>https://www.cat.com.</w:t>
        </w:r>
      </w:hyperlink>
    </w:p>
    <w:p w14:paraId="7D982FC5"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*Vietato per il commercio</w:t>
      </w:r>
    </w:p>
    <w:p w14:paraId="526D99D2"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51B2E46E" w14:textId="77777777" w:rsidR="00E40DC4" w:rsidRDefault="00E40DC4" w:rsidP="00E40DC4">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CARATTERISTICHE TECNICHE DEL PRODOTTO CAT</w:t>
      </w:r>
      <w:r>
        <w:rPr>
          <w:rFonts w:ascii="Roboto Condensed Bold" w:hAnsi="Roboto Condensed Bold"/>
          <w:b w:val="0"/>
          <w:bCs/>
          <w:caps/>
          <w:color w:val="000000"/>
          <w:sz w:val="25"/>
          <w:szCs w:val="25"/>
          <w:vertAlign w:val="superscript"/>
        </w:rPr>
        <w:t>®</w:t>
      </w:r>
      <w:r>
        <w:rPr>
          <w:rFonts w:ascii="Roboto Condensed Bold" w:hAnsi="Roboto Condensed Bold"/>
          <w:b w:val="0"/>
          <w:bCs/>
          <w:caps/>
          <w:color w:val="000000"/>
        </w:rPr>
        <w:t> 988 GC</w:t>
      </w:r>
    </w:p>
    <w:p w14:paraId="56F23351" w14:textId="77777777" w:rsidR="00E40DC4" w:rsidRDefault="00E40DC4" w:rsidP="00E40DC4">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078"/>
        <w:gridCol w:w="1852"/>
      </w:tblGrid>
      <w:tr w:rsidR="00E40DC4" w14:paraId="6C62FE5A"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24A77EB9"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Motore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8B53FF2"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E40DC4" w14:paraId="0E41C0A0"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CC4C1ED"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Massima potenza a 1.600 giri/min - ISO 14396:2002, 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3506510"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E40DC4" w14:paraId="0D0994E4"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0B877B3E"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Carico statico di ribaltamento con flessione dello pneumatico,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78FA714"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31.668 (69.816)</w:t>
            </w:r>
          </w:p>
        </w:tc>
      </w:tr>
      <w:tr w:rsidR="00E40DC4" w14:paraId="0F99158D"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3A1B483"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Altezza perno benna, mm (ft)</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D96DC95"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E40DC4" w14:paraId="054601A2"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EDC7864"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Altezza di scarico (punta del dente), mm (ft)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B03A10B"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E40DC4" w14:paraId="4BCED2A6"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69B96736"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Forza di strappo,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08B967C6"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(76.120)</w:t>
            </w:r>
          </w:p>
        </w:tc>
      </w:tr>
      <w:tr w:rsidR="00E40DC4" w14:paraId="7DDAE5EF"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873FB3A"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Interasse, mm (ft./in.)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479C080"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E40DC4" w14:paraId="5EFB910B" w14:textId="77777777" w:rsidTr="00E40DC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1B3F058"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Peso operativo,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F1836CF"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50.861 (23.070)</w:t>
            </w:r>
          </w:p>
        </w:tc>
      </w:tr>
    </w:tbl>
    <w:p w14:paraId="73F837EC"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lastRenderedPageBreak/>
        <w:t>La potenza netta indicata corrisponde alla potenza disponibile al volano, con il motore equipaggiato con ventola S alla velocità minima, sistema di presa d'aria, sistema di scarico e alternatore.</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39AD5848"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Nota per i redattori: </w:t>
      </w:r>
      <w:r>
        <w:rPr>
          <w:rFonts w:ascii="Open Sans" w:hAnsi="Open Sans" w:cs="Open Sans"/>
          <w:color w:val="000000"/>
          <w:sz w:val="21"/>
          <w:szCs w:val="21"/>
        </w:rPr>
        <w:t>Caterpillar distribuisce prodotti e servizi in ognuno dei propri territori a intervalli di tempo diversi. Sebbene Caterpillar si impegni al massimo affinché le informazioni sui prodotti vengano pubblicate solo dopo aver ricevuto conferma dalla rete di dealer, dagli stabilimenti e dalle filiali di marketing che i prodotti e i servizi sono disponibili nella regione specifica, i redattori sono invitati a verificare presso i dealer locali la disponibilità e le caratteristiche tecniche dei prodotti.</w:t>
      </w:r>
    </w:p>
    <w:p w14:paraId="4A209195" w14:textId="77777777" w:rsidR="00E40DC4" w:rsidRDefault="00E40DC4" w:rsidP="00E40DC4">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LET’S DO THE WORK, i rispettivi loghi, VisionLink, "Caterpillar Corporate Yellow", i marchi "Power Edge" e Cat "Modern Hex" nonché le identità aziendali e dei prodotti qui usati sono marchi di fabbrica di Caterpillar e non possono essere usati senza permesso.</w:t>
      </w:r>
    </w:p>
    <w:p w14:paraId="5E7DE049" w14:textId="05F29378" w:rsidR="00E40DC4" w:rsidRDefault="00E40DC4" w:rsidP="00E40DC4">
      <w:pPr>
        <w:pStyle w:val="NormalWeb"/>
        <w:shd w:val="clear" w:color="auto" w:fill="FFFFFF"/>
        <w:spacing w:before="0" w:beforeAutospacing="0"/>
        <w:jc w:val="center"/>
        <w:rPr>
          <w:rFonts w:ascii="Open Sans" w:hAnsi="Open Sans" w:cs="Open Sans"/>
          <w:b/>
          <w:bCs/>
          <w:color w:val="000000"/>
          <w:sz w:val="21"/>
          <w:szCs w:val="21"/>
        </w:rPr>
      </w:pPr>
      <w:r>
        <w:rPr>
          <w:rFonts w:ascii="Open Sans" w:hAnsi="Open Sans" w:cs="Open Sans"/>
          <w:b/>
          <w:bCs/>
          <w:color w:val="000000"/>
          <w:sz w:val="21"/>
          <w:szCs w:val="21"/>
        </w:rPr>
        <w:t>©2023 Caterpillar Tutti i diritti riservati</w:t>
      </w:r>
    </w:p>
    <w:p w14:paraId="33019784" w14:textId="77777777" w:rsidR="00E40DC4" w:rsidRDefault="00E40DC4" w:rsidP="00E40DC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w:t>
      </w:r>
    </w:p>
    <w:tbl>
      <w:tblPr>
        <w:tblW w:w="16350" w:type="dxa"/>
        <w:tblCellMar>
          <w:left w:w="0" w:type="dxa"/>
          <w:right w:w="0" w:type="dxa"/>
        </w:tblCellMar>
        <w:tblLook w:val="04A0" w:firstRow="1" w:lastRow="0" w:firstColumn="1" w:lastColumn="0" w:noHBand="0" w:noVBand="1"/>
      </w:tblPr>
      <w:tblGrid>
        <w:gridCol w:w="3492"/>
        <w:gridCol w:w="12858"/>
      </w:tblGrid>
      <w:tr w:rsidR="00E40DC4" w14:paraId="6A8E159D" w14:textId="77777777" w:rsidTr="00E40DC4">
        <w:tc>
          <w:tcPr>
            <w:tcW w:w="1890" w:type="dxa"/>
            <w:shd w:val="clear" w:color="auto" w:fill="FFFFFF"/>
            <w:tcMar>
              <w:top w:w="180" w:type="dxa"/>
              <w:left w:w="180" w:type="dxa"/>
              <w:bottom w:w="180" w:type="dxa"/>
              <w:right w:w="180" w:type="dxa"/>
            </w:tcMar>
            <w:hideMark/>
          </w:tcPr>
          <w:p w14:paraId="5F1E74D9"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Comunicati stampa</w:t>
            </w:r>
          </w:p>
        </w:tc>
        <w:tc>
          <w:tcPr>
            <w:tcW w:w="6960" w:type="dxa"/>
            <w:shd w:val="clear" w:color="auto" w:fill="FFFFFF"/>
            <w:tcMar>
              <w:top w:w="180" w:type="dxa"/>
              <w:left w:w="180" w:type="dxa"/>
              <w:bottom w:w="180" w:type="dxa"/>
              <w:right w:w="180" w:type="dxa"/>
            </w:tcMar>
            <w:hideMark/>
          </w:tcPr>
          <w:p w14:paraId="2E759721"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Rappresentanti della stampa commerciale Caterpillar</w:t>
            </w:r>
          </w:p>
          <w:p w14:paraId="70338ED9"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Americhe</w:t>
            </w:r>
          </w:p>
          <w:p w14:paraId="04FC0E13"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54B4B077"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3" w:history="1">
              <w:r>
                <w:rPr>
                  <w:rStyle w:val="Hyperlink"/>
                  <w:rFonts w:ascii="Open Sans" w:hAnsi="Open Sans" w:cs="Open Sans"/>
                  <w:color w:val="2679B8"/>
                  <w:sz w:val="21"/>
                  <w:szCs w:val="21"/>
                </w:rPr>
                <w:t>Kelly_Johanna_L@cat.com</w:t>
              </w:r>
            </w:hyperlink>
          </w:p>
          <w:p w14:paraId="32E29C99"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Africa, Medio Oriente</w:t>
            </w:r>
          </w:p>
          <w:p w14:paraId="3A9E6B7B" w14:textId="77777777" w:rsidR="00E40DC4" w:rsidRDefault="00E40DC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bl>
    <w:p w14:paraId="46100DAD" w14:textId="77777777" w:rsidR="00E40DC4" w:rsidRDefault="00E40DC4" w:rsidP="00E40DC4">
      <w:pPr>
        <w:pStyle w:val="NormalWeb"/>
        <w:shd w:val="clear" w:color="auto" w:fill="FFFFFF"/>
        <w:spacing w:before="0" w:beforeAutospacing="0"/>
        <w:jc w:val="center"/>
        <w:rPr>
          <w:rFonts w:ascii="Open Sans" w:hAnsi="Open Sans" w:cs="Open Sans"/>
          <w:color w:val="000000"/>
          <w:sz w:val="21"/>
          <w:szCs w:val="21"/>
        </w:rPr>
      </w:pPr>
    </w:p>
    <w:sectPr w:rsidR="00E40DC4">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A8B70" w14:textId="77777777" w:rsidR="00B7361A" w:rsidRDefault="00B7361A">
      <w:r>
        <w:separator/>
      </w:r>
    </w:p>
  </w:endnote>
  <w:endnote w:type="continuationSeparator" w:id="0">
    <w:p w14:paraId="160821AF" w14:textId="77777777" w:rsidR="00B7361A" w:rsidRDefault="00B73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83BD7" w14:textId="77777777" w:rsidR="00B7361A" w:rsidRDefault="00B7361A">
      <w:r>
        <w:separator/>
      </w:r>
    </w:p>
  </w:footnote>
  <w:footnote w:type="continuationSeparator" w:id="0">
    <w:p w14:paraId="45A382E8" w14:textId="77777777" w:rsidR="00B7361A" w:rsidRDefault="00B73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7361A"/>
    <w:rsid w:val="00BA1008"/>
    <w:rsid w:val="00BA7330"/>
    <w:rsid w:val="00BC592E"/>
    <w:rsid w:val="00BC7177"/>
    <w:rsid w:val="00BD334B"/>
    <w:rsid w:val="00BF4796"/>
    <w:rsid w:val="00C14936"/>
    <w:rsid w:val="00C16502"/>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0DC4"/>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E40DC4"/>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20053">
      <w:bodyDiv w:val="1"/>
      <w:marLeft w:val="0"/>
      <w:marRight w:val="0"/>
      <w:marTop w:val="0"/>
      <w:marBottom w:val="0"/>
      <w:divBdr>
        <w:top w:val="none" w:sz="0" w:space="0" w:color="auto"/>
        <w:left w:val="none" w:sz="0" w:space="0" w:color="auto"/>
        <w:bottom w:val="none" w:sz="0" w:space="0" w:color="auto"/>
        <w:right w:val="none" w:sz="0" w:space="0" w:color="auto"/>
      </w:divBdr>
    </w:div>
    <w:div w:id="398675327">
      <w:bodyDiv w:val="1"/>
      <w:marLeft w:val="0"/>
      <w:marRight w:val="0"/>
      <w:marTop w:val="0"/>
      <w:marBottom w:val="0"/>
      <w:divBdr>
        <w:top w:val="none" w:sz="0" w:space="0" w:color="auto"/>
        <w:left w:val="none" w:sz="0" w:space="0" w:color="auto"/>
        <w:bottom w:val="none" w:sz="0" w:space="0" w:color="auto"/>
        <w:right w:val="none" w:sz="0" w:space="0" w:color="auto"/>
      </w:divBdr>
    </w:div>
    <w:div w:id="1236665198">
      <w:bodyDiv w:val="1"/>
      <w:marLeft w:val="0"/>
      <w:marRight w:val="0"/>
      <w:marTop w:val="0"/>
      <w:marBottom w:val="0"/>
      <w:divBdr>
        <w:top w:val="none" w:sz="0" w:space="0" w:color="auto"/>
        <w:left w:val="none" w:sz="0" w:space="0" w:color="auto"/>
        <w:bottom w:val="none" w:sz="0" w:space="0" w:color="auto"/>
        <w:right w:val="none" w:sz="0" w:space="0" w:color="auto"/>
      </w:divBdr>
      <w:divsChild>
        <w:div w:id="1519155051">
          <w:marLeft w:val="0"/>
          <w:marRight w:val="0"/>
          <w:marTop w:val="0"/>
          <w:marBottom w:val="0"/>
          <w:divBdr>
            <w:top w:val="none" w:sz="0" w:space="0" w:color="auto"/>
            <w:left w:val="none" w:sz="0" w:space="0" w:color="auto"/>
            <w:bottom w:val="none" w:sz="0" w:space="0" w:color="auto"/>
            <w:right w:val="none" w:sz="0" w:space="0" w:color="auto"/>
          </w:divBdr>
        </w:div>
        <w:div w:id="1902208910">
          <w:marLeft w:val="0"/>
          <w:marRight w:val="0"/>
          <w:marTop w:val="0"/>
          <w:marBottom w:val="0"/>
          <w:divBdr>
            <w:top w:val="none" w:sz="0" w:space="0" w:color="auto"/>
            <w:left w:val="none" w:sz="0" w:space="0" w:color="auto"/>
            <w:bottom w:val="none" w:sz="0" w:space="0" w:color="auto"/>
            <w:right w:val="none" w:sz="0" w:space="0" w:color="auto"/>
          </w:divBdr>
        </w:div>
      </w:divsChild>
    </w:div>
    <w:div w:id="1665351379">
      <w:bodyDiv w:val="1"/>
      <w:marLeft w:val="0"/>
      <w:marRight w:val="0"/>
      <w:marTop w:val="0"/>
      <w:marBottom w:val="0"/>
      <w:divBdr>
        <w:top w:val="none" w:sz="0" w:space="0" w:color="auto"/>
        <w:left w:val="none" w:sz="0" w:space="0" w:color="auto"/>
        <w:bottom w:val="none" w:sz="0" w:space="0" w:color="auto"/>
        <w:right w:val="none" w:sz="0" w:space="0" w:color="auto"/>
      </w:divBdr>
    </w:div>
    <w:div w:id="201564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it_IT.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authormc.cat.com/content/catdotcom/it_IT/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3.xml><?xml version="1.0" encoding="utf-8"?>
<ds:datastoreItem xmlns:ds="http://schemas.openxmlformats.org/officeDocument/2006/customXml" ds:itemID="{FE1B9D08-B9DE-427D-8345-B80C57DAFB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9</cp:revision>
  <cp:lastPrinted>2013-03-02T18:48:00Z</cp:lastPrinted>
  <dcterms:created xsi:type="dcterms:W3CDTF">2023-08-11T18:38:00Z</dcterms:created>
  <dcterms:modified xsi:type="dcterms:W3CDTF">2023-10-06T15:01:00Z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2023-10-06T15:01:17Z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373a4f6b-fb85-4ea1-89a4-fd6011e4ebe8</vt:lpwstr>
  </property>
  <property fmtid="{D5CDD505-2E9C-101B-9397-08002B2CF9AE}" pid="16" name="MSIP_Label_fb5e2db6-eecf-4aa2-8fc3-174bf94bce19_ContentBits">
    <vt:lpwstr>2</vt:lpwstr>
  </property>
</Properties>
</file>