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5E877772" w14:textId="71BE0CB9" w:rsidR="00DE0527" w:rsidRDefault="00E655C1">
      <w:pPr>
        <w:rPr>
          <w:rFonts w:ascii="Open Sans" w:hAnsi="Open Sans" w:cs="Open Sans"/>
          <w:i/>
          <w:iCs/>
          <w:color w:val="000000"/>
          <w:sz w:val="21"/>
          <w:szCs w:val="21"/>
          <w:shd w:val="clear" w:color="auto" w:fill="FFFFFF"/>
        </w:rPr>
      </w:pPr>
      <w:r>
        <w:rPr>
          <w:rFonts w:ascii="Open Sans" w:hAnsi="Open Sans" w:cs="Open Sans"/>
          <w:i/>
          <w:iCs/>
          <w:color w:val="000000"/>
          <w:sz w:val="21"/>
          <w:szCs w:val="21"/>
          <w:shd w:val="clear" w:color="auto" w:fill="FFFFFF"/>
        </w:rPr>
        <w:t>Para publicación mundial, excluyendo Norteamérica y China: Agosto de 2023</w:t>
      </w:r>
      <w:r>
        <w:rPr>
          <w:rFonts w:ascii="Open Sans" w:hAnsi="Open Sans" w:cs="Open Sans"/>
          <w:i/>
          <w:iCs/>
          <w:color w:val="000000"/>
          <w:sz w:val="21"/>
          <w:szCs w:val="21"/>
          <w:shd w:val="clear" w:color="auto" w:fill="FFFFFF"/>
        </w:rPr>
        <w:br/>
        <w:t>Número de publicación: 243PR23</w:t>
      </w:r>
    </w:p>
    <w:p w14:paraId="22FB0899" w14:textId="77777777" w:rsidR="00E655C1" w:rsidRPr="00E655C1" w:rsidRDefault="00E655C1">
      <w:pPr>
        <w:rPr>
          <w:b/>
          <w:bCs/>
          <w:color w:val="000000"/>
          <w:sz w:val="56"/>
          <w:szCs w:val="56"/>
        </w:rPr>
      </w:pPr>
    </w:p>
    <w:p w14:paraId="6DAD0E7E" w14:textId="361275EB" w:rsidR="00DE0527" w:rsidRDefault="00E655C1">
      <w:pPr>
        <w:rPr>
          <w:rFonts w:ascii="Helvetica" w:hAnsi="Helvetica"/>
          <w:b/>
          <w:bCs/>
          <w:color w:val="323232"/>
          <w:sz w:val="36"/>
          <w:szCs w:val="48"/>
          <w:shd w:val="clear" w:color="auto" w:fill="FFFFFF"/>
        </w:rPr>
      </w:pPr>
      <w:r w:rsidRPr="00E655C1">
        <w:rPr>
          <w:rFonts w:ascii="Helvetica" w:hAnsi="Helvetica"/>
          <w:b/>
          <w:bCs/>
          <w:color w:val="323232"/>
          <w:sz w:val="36"/>
          <w:szCs w:val="48"/>
          <w:shd w:val="clear" w:color="auto" w:fill="FFFFFF"/>
        </w:rPr>
        <w:t>Con menores costes de combustible y mantenimiento, la nueva pala de ruedas Cat® 988 Gc cumple los objetivos de producción a un bajo coste por hora.</w:t>
      </w:r>
    </w:p>
    <w:p w14:paraId="7D427A9B" w14:textId="77777777" w:rsidR="00E655C1" w:rsidRPr="00E655C1" w:rsidRDefault="00E655C1">
      <w:pPr>
        <w:rPr>
          <w:b/>
          <w:bCs/>
          <w:sz w:val="56"/>
          <w:szCs w:val="56"/>
        </w:rPr>
      </w:pPr>
    </w:p>
    <w:p w14:paraId="20E2B935"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nueva pala de ruedas Cat</w:t>
      </w:r>
      <w:r>
        <w:rPr>
          <w:rFonts w:ascii="Open Sans" w:hAnsi="Open Sans" w:cs="Open Sans"/>
          <w:color w:val="000000"/>
          <w:sz w:val="16"/>
          <w:szCs w:val="16"/>
          <w:vertAlign w:val="superscript"/>
        </w:rPr>
        <w:t>®</w:t>
      </w:r>
      <w:r>
        <w:rPr>
          <w:rFonts w:ascii="Open Sans" w:hAnsi="Open Sans" w:cs="Open Sans"/>
          <w:color w:val="000000"/>
          <w:sz w:val="21"/>
          <w:szCs w:val="21"/>
        </w:rPr>
        <w:t> </w:t>
      </w:r>
      <w:hyperlink r:id="rId10" w:tgtFrame="_self" w:history="1">
        <w:r>
          <w:rPr>
            <w:rStyle w:val="Hyperlink"/>
            <w:rFonts w:ascii="Open Sans" w:hAnsi="Open Sans" w:cs="Open Sans"/>
            <w:color w:val="2679B8"/>
            <w:sz w:val="21"/>
            <w:szCs w:val="21"/>
          </w:rPr>
          <w:t>988 GC</w:t>
        </w:r>
      </w:hyperlink>
      <w:r>
        <w:rPr>
          <w:rFonts w:ascii="Open Sans" w:hAnsi="Open Sans" w:cs="Open Sans"/>
          <w:color w:val="000000"/>
          <w:sz w:val="21"/>
          <w:szCs w:val="21"/>
        </w:rPr>
        <w:t> ofrece un funcionamiento fiable y eficiente, lo que permite a los clientes mover más material con un menor coste por hora para obtener una rentabilidad de la inversión más rápida. La nueva pala ofrece hasta un 5 % menos de consumo de combustible y hasta un 15 % menos de costes de mantenimiento que la Cat 988K. Diseñada para maximizar el valor del ciclo de vida útil en aplicaciones de producción moderada de hasta 2.000 horas al año, la 988 GC es capaz de ofrecer una producción dentro del 6 % de la 988K en aplicaciones de carga de dúmperes.  </w:t>
      </w:r>
    </w:p>
    <w:p w14:paraId="34E7F3E1"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Fácil de manejar y mantener, la nueva 988 GC está optimizada como pala adaptada para dúmperes de 45 toneladas métricas (50 toneladas). Su altura libre de descarga de 3.909 mm (12,8 pies) proporciona una carga eficiente hasta el dúmper Cat 775G. Con una carga útil del cucharón igual a la de la 988K, la nueva 988 GC ofrece una productividad de hasta 670 toneladas métricas/hora (740 toneladas/hora) en aplicaciones de carga de dúmperes de roca granallada y de hasta 527 toneladas métricas/hora (581 toneladas/hora) para operaciones de carga y transporte.</w:t>
      </w:r>
    </w:p>
    <w:p w14:paraId="4183DF79"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Las estructuras extremadamente duraderas de la nueva pala están construidas para múltiples ciclos de vida y para soportar las condiciones de carga más duras. Construido sobre la plataforma común de la pala de ruedas grande Cat, su bastidor trasero de sección de caja completa resiste los impactos torsionales y las fuerzas de torsión. Su bastidor delantero se ha rediseñado para soportar cargas mayores y presenta un nuevo diseño del brazo de elevación.</w:t>
      </w:r>
    </w:p>
    <w:p w14:paraId="7B20EB89"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Fiable y eficiente</w:t>
      </w:r>
    </w:p>
    <w:p w14:paraId="38F8EB05"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fiabilidad y la eficiencia están en el corazón de la nueva 988 GC con el motor Cat C15 probado sobre el terreno, que ofrece configuraciones para emitir el equivalente a Stage IIIA de la UE / Tier 3 de la EPA de EE. UU. y cumplir con requisitos de emisiones Stage V de la UE / Tier 4 Final de la EPA de EE. UU. El paquete de refrigeración de la 988 GC ofrece un mayor rechazo del calor con una estrategia de ventilador a demanda y dos ajustes de velocidad del ventilador disponibles para configuraciones estándar y de alta temperatura ambiente.  </w:t>
      </w:r>
    </w:p>
    <w:p w14:paraId="405CE938"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El convertidor de par Cat con embrague de bloqueo estándar elimina pérdidas, reduce el calor del sistema, mejora los tiempos de desplazamiento y reduce los tiempos de ciclo en operaciones de carga y transporte. Al mejorar la vida útil y la facilidad de mantenimiento, los frenos de disco de aceite Cat proporcionan una disipación del calor y un rendimiento superiores.</w:t>
      </w:r>
    </w:p>
    <w:p w14:paraId="476BF158"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Diseñada específicamente para aplicaciones de canteras y minería, la transmisión Cat Advanced Power Electronic Control Strategy (APECS) ofrece el mejor rendimiento de su clase con cambios uniformes y suaves, mejoras de productividad y eficiencia, y una larga vida útil. El impulso hacia delante y el par motor se mantienen al cambiar de marcha para lograr un mayor impulso en pendientes. El pedal neutralizador de la transmisión prolonga la vida útil de los frenos de servicio y permite utilizar toda la potencia durante la carga estacionaria.</w:t>
      </w:r>
    </w:p>
    <w:p w14:paraId="13169B4E"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sistema hidráulico con detección de carga dirige el caudal hidráulico a los sistemas del implemento y de dirección solo cuando es necesario para optimizar el rendimiento y la eficiencia de la nueva 988 GC. Beneficioso para aplicaciones de carga y transporte, el control de conducción opcional añade un acumulador auxiliar al circuito de elevación para una conducción más suave.</w:t>
      </w:r>
    </w:p>
    <w:p w14:paraId="6550CD1C"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Manejo cómodo y sencillo</w:t>
      </w:r>
    </w:p>
    <w:p w14:paraId="67D999D7"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máxima capacidad de respuesta de la máquina se consigue gracias a su dirección Steering and Integrated Control (STIC™), que ofrece un funcionamiento hasta un 47 % más silencioso. Su asiento Cat Comfort Series III con módulo de control del implemento montado en el asiento que se mueve con este mejora la comodidad y reduce la fatiga del operador. El manejo se simplifica gracias a la intuitiva interfaz del operador, la pantalla táctil y los controles del implemento fáciles de usar. Las vibraciones de la máquina que recibe el operador se reducen gracias a los soportes de aislamiento de la cabina y a la suspensión neumática del asiento, y hay disponible un asiento opcional refrigerado por aire y calefactado para aumentar la comodidad del operador.</w:t>
      </w:r>
    </w:p>
    <w:p w14:paraId="21EFB1D0"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Las sencillas tecnologías integradas contribuyen a aumentar la productividad y eficacia de la 988 GC. Product Link™, que ayuda a supervisar, gestionar y mejorar las operaciones en el lugar de trabajo, ofrece acceso inalámbrico a datos de funcionamiento esenciales para obtener información valiosa sobre el funcionamiento de la máquina. La visión trasera Cat de serie mejora la visibilidad detrás de la 988 GC, lo que permite al operador trabajar con seguridad y confianza. Para ayudar a mantener la seguridad de las personas y los objetos, la 988 GC puede equiparse con la tecnología Cat Detect que mejora el conocimiento del entorno alrededor del equipo de trabajo.</w:t>
      </w:r>
    </w:p>
    <w:p w14:paraId="038530D6"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diseño del brazo de elevación delantero con barra en Z proporciona una excelente visibilidad de los bordes del cucharón y de la zona de trabajo para simplificar el manejo. La carga útil del cucharón es similar a la de los modelos 988K con una gama de cucharones Cat de la serie Performance disponibles con capacidades de 6,3 a 7,6 m</w:t>
      </w:r>
      <w:r>
        <w:rPr>
          <w:rFonts w:ascii="Open Sans" w:hAnsi="Open Sans" w:cs="Open Sans"/>
          <w:color w:val="000000"/>
          <w:sz w:val="16"/>
          <w:szCs w:val="16"/>
          <w:vertAlign w:val="superscript"/>
        </w:rPr>
        <w:t>3</w:t>
      </w:r>
      <w:r>
        <w:rPr>
          <w:rFonts w:ascii="Open Sans" w:hAnsi="Open Sans" w:cs="Open Sans"/>
          <w:color w:val="000000"/>
          <w:sz w:val="21"/>
          <w:szCs w:val="21"/>
        </w:rPr>
        <w:t> (8,3 a 10 yd</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27AF4508"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Al mostrar los datos en tiempo real para mejorar la productividad y reducir la sobrecarga, Cat Payload opcional proporciona pesaje sobre la marcha* de los materiales transportados y cargados. Una suscripción opcional a Advanced Productivity proporciona información completa y práctica para ayudar a gestionar y mejorar la productividad y rentabilidad de las operaciones.</w:t>
      </w:r>
    </w:p>
    <w:p w14:paraId="09F7FBBB"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Reducción del mantenimiento</w:t>
      </w:r>
    </w:p>
    <w:p w14:paraId="0980F4C7"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diseño de la nueva pala incluye características para aumentar el tiempo de actividad de la máquina y reducir los costes de mantenimiento hasta en un 15 % en comparación con la 988K. La filtración avanzada amplía el rendimiento y la fiabilidad del sistema hidráulico. El acceso a nivel del suelo o de la plataforma a los puntos de servicio agrupados ofrece un mantenimiento cómodo. Las puertas de acceso, situadas a ambos lados del compartimento del motor, facilitan el acceso a las comprobaciones diarias más importantes. Los puntos de engrase centralizados a nivel del suelo y las mirillas a nivel del suelo simplifican las comprobaciones diarias de engrase y nivel de aceite de los principales sistemas de la máquina.</w:t>
      </w:r>
    </w:p>
    <w:p w14:paraId="333B207B"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Su sistema de diagnóstico integrado avisa al operador de los problemas de la máquina para que pueda resolverlos antes de que se produzca un fallo. La información capturada por Product Link se puede supervisar de forma remota a través de my.cat.com, la aplicación Cat o VisionLink</w:t>
      </w:r>
      <w:r>
        <w:rPr>
          <w:rFonts w:ascii="Open Sans" w:hAnsi="Open Sans" w:cs="Open Sans"/>
          <w:color w:val="000000"/>
          <w:sz w:val="16"/>
          <w:szCs w:val="16"/>
          <w:vertAlign w:val="superscript"/>
        </w:rPr>
        <w:t>®</w:t>
      </w:r>
      <w:r>
        <w:rPr>
          <w:rFonts w:ascii="Open Sans" w:hAnsi="Open Sans" w:cs="Open Sans"/>
          <w:color w:val="000000"/>
          <w:sz w:val="21"/>
          <w:szCs w:val="21"/>
        </w:rPr>
        <w:t> para ayudar a mejorar el mantenimiento preventivo y la eficiencia del servicio.</w:t>
      </w:r>
    </w:p>
    <w:p w14:paraId="7E59CC45"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Para obtener más información sobre la nueva pala de ruedas Cat 988 GC, póngase en contacto con un distribuidor Cat o visite </w:t>
      </w:r>
      <w:hyperlink r:id="rId11" w:tgtFrame="_self" w:history="1">
        <w:r>
          <w:rPr>
            <w:rStyle w:val="Hyperlink"/>
            <w:rFonts w:ascii="Open Sans" w:hAnsi="Open Sans" w:cs="Open Sans"/>
            <w:color w:val="2679B8"/>
            <w:sz w:val="21"/>
            <w:szCs w:val="21"/>
          </w:rPr>
          <w:t>www.cat.com.</w:t>
        </w:r>
      </w:hyperlink>
    </w:p>
    <w:p w14:paraId="55FE7F1B"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*Sin valor legal</w:t>
      </w:r>
    </w:p>
    <w:p w14:paraId="1F5F1B62"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w:t>
      </w:r>
    </w:p>
    <w:p w14:paraId="1EAA39A6" w14:textId="77777777" w:rsidR="00E655C1" w:rsidRDefault="00E655C1" w:rsidP="00E655C1">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ESPECIFICACIONES DEL PRODUCTO CAT</w:t>
      </w:r>
      <w:r>
        <w:rPr>
          <w:rFonts w:ascii="Roboto Condensed Bold" w:hAnsi="Roboto Condensed Bold"/>
          <w:b w:val="0"/>
          <w:bCs/>
          <w:caps/>
          <w:color w:val="000000"/>
          <w:sz w:val="25"/>
          <w:szCs w:val="25"/>
          <w:vertAlign w:val="superscript"/>
        </w:rPr>
        <w:t>®</w:t>
      </w:r>
      <w:r>
        <w:rPr>
          <w:rFonts w:ascii="Roboto Condensed Bold" w:hAnsi="Roboto Condensed Bold"/>
          <w:b w:val="0"/>
          <w:bCs/>
          <w:caps/>
          <w:color w:val="000000"/>
        </w:rPr>
        <w:t> 988 GC</w:t>
      </w:r>
    </w:p>
    <w:p w14:paraId="03724DE1" w14:textId="77777777" w:rsidR="00E655C1" w:rsidRDefault="00E655C1" w:rsidP="00E655C1">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312"/>
        <w:gridCol w:w="1852"/>
      </w:tblGrid>
      <w:tr w:rsidR="00E655C1" w14:paraId="6D62354B"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3226988"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Motor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A377A78"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C15</w:t>
            </w:r>
          </w:p>
        </w:tc>
      </w:tr>
      <w:tr w:rsidR="00E655C1" w14:paraId="3E8C8E3A"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6BA36712"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Potencia máxima a 1.600 rpm – ISO 14396:2002, kW (hp)</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6B5FBDF"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E655C1" w14:paraId="7550801F"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139166C"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Carga límite de equilibrio estático con desviación de neumáticos, kg (lb)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61DEE6B"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31.668 (69.816)</w:t>
            </w:r>
          </w:p>
        </w:tc>
      </w:tr>
      <w:tr w:rsidR="00E655C1" w14:paraId="41253B92"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C500BD7"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Altura del bulón del cucharón, mm (pies)</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15E30436"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5.755 (18,7)</w:t>
            </w:r>
          </w:p>
        </w:tc>
      </w:tr>
      <w:tr w:rsidR="00E655C1" w14:paraId="3AF77D8A"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C6B3378"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Espacio libre de descarga (punta de los dientes), mm (pies)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7A25DDB"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3.909 (12,8)</w:t>
            </w:r>
          </w:p>
        </w:tc>
      </w:tr>
      <w:tr w:rsidR="00E655C1" w14:paraId="1A626A55"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397EEF3"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Fuerza de arranque,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6B6B59F"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(76.120)</w:t>
            </w:r>
          </w:p>
        </w:tc>
      </w:tr>
      <w:tr w:rsidR="00E655C1" w14:paraId="6571D90C"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C9602FD"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Distancia entre ejes, mm (pies/pulg)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1FD8205"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3.810 (12,5)</w:t>
            </w:r>
          </w:p>
        </w:tc>
      </w:tr>
      <w:tr w:rsidR="00E655C1" w14:paraId="7FB02C7A" w14:textId="77777777" w:rsidTr="00E655C1">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BA09C64"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Peso de funcionamiento, kg (lb)</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B9C8BE9"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50.861 (23.070)</w:t>
            </w:r>
          </w:p>
        </w:tc>
      </w:tr>
    </w:tbl>
    <w:p w14:paraId="24A7456C"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La potencia neta indicada es la potencia disponible en el volante cuando el motor está equipado con ventilador S girando a su velocidad mínima, sistema de admisión de aire, sistema de escape y alternador</w:t>
      </w:r>
    </w:p>
    <w:p w14:paraId="401F18E0" w14:textId="77777777" w:rsidR="00E655C1" w:rsidRDefault="00E655C1" w:rsidP="00E655C1">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 </w:t>
      </w: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173D89FB" w14:textId="77777777" w:rsidR="00E655C1" w:rsidRDefault="00E655C1" w:rsidP="00E655C1">
      <w:pPr>
        <w:pStyle w:val="NormalWeb"/>
        <w:spacing w:before="0" w:beforeAutospacing="0"/>
        <w:rPr>
          <w:rFonts w:ascii="Open Sans" w:hAnsi="Open Sans" w:cs="Open Sans"/>
          <w:color w:val="000000"/>
        </w:rPr>
      </w:pPr>
      <w:r>
        <w:rPr>
          <w:rFonts w:ascii="Open Sans" w:hAnsi="Open Sans" w:cs="Open Sans"/>
          <w:b/>
          <w:bCs/>
          <w:color w:val="000000"/>
        </w:rPr>
        <w:t>Nota para los editores: </w:t>
      </w:r>
      <w:r>
        <w:rPr>
          <w:rFonts w:ascii="Open Sans" w:hAnsi="Open Sans" w:cs="Open Sans"/>
          <w:color w:val="000000"/>
        </w:rPr>
        <w:t>Caterpillar lanza sus productos y servicios en cada territorio en diferentes intervalos de tiempo. Aunque se realizan todos los esfuerzos necesarios para garantizar que la información de los productos solo se publique una vez que Caterpillar haya recibido de nuestra red de distribuidores, nuestras plantas y nuestras filiales de marketing la confirmación de que los productos y los servicios están disponibles en la región pertinente, le rogamos que consulte a su distribuidor local sobre la disponibilidad y las especificaciones de los productos.</w:t>
      </w:r>
    </w:p>
    <w:p w14:paraId="2EE32219" w14:textId="77777777" w:rsidR="00E655C1" w:rsidRDefault="00E655C1" w:rsidP="00E655C1">
      <w:pPr>
        <w:pStyle w:val="NormalWeb"/>
        <w:spacing w:before="0" w:beforeAutospacing="0"/>
        <w:jc w:val="center"/>
        <w:rPr>
          <w:rFonts w:ascii="Open Sans" w:hAnsi="Open Sans" w:cs="Open Sans"/>
          <w:color w:val="000000"/>
        </w:rPr>
      </w:pPr>
      <w:r>
        <w:rPr>
          <w:rFonts w:ascii="Open Sans" w:hAnsi="Open Sans" w:cs="Open Sans"/>
          <w:b/>
          <w:bCs/>
          <w:color w:val="000000"/>
        </w:rPr>
        <w:br/>
        <w:t>CAT, CATERPILLAR, LET'S DO THE WORK, sus respectivos logotipos, VisionLink, el color "Caterpillar Corporate Yellow", la imagen comercial de "Power Edge" y de Cat "Modern Hex", así como la identidad corporativa y de producto utilizada en el presente documento, son marcas comerciales de Caterpillar y no pueden utilizarse sin autorización.</w:t>
      </w:r>
    </w:p>
    <w:p w14:paraId="5A9FF099" w14:textId="77777777" w:rsidR="00E655C1" w:rsidRDefault="00E655C1" w:rsidP="00E655C1">
      <w:pPr>
        <w:pStyle w:val="NormalWeb"/>
        <w:spacing w:before="0" w:beforeAutospacing="0"/>
        <w:jc w:val="center"/>
        <w:rPr>
          <w:rFonts w:ascii="Open Sans" w:hAnsi="Open Sans" w:cs="Open Sans"/>
          <w:color w:val="000000"/>
        </w:rPr>
      </w:pPr>
      <w:r>
        <w:rPr>
          <w:rFonts w:ascii="Open Sans" w:hAnsi="Open Sans" w:cs="Open Sans"/>
          <w:b/>
          <w:bCs/>
          <w:color w:val="000000"/>
        </w:rPr>
        <w:t>©2023 Caterpillar Reservados todos los derechos</w:t>
      </w:r>
    </w:p>
    <w:p w14:paraId="44DDFD6A" w14:textId="77777777" w:rsidR="00E655C1" w:rsidRDefault="00E655C1" w:rsidP="00E655C1">
      <w:pPr>
        <w:pStyle w:val="NormalWeb"/>
        <w:spacing w:before="0" w:beforeAutospacing="0"/>
        <w:rPr>
          <w:rFonts w:ascii="Open Sans" w:hAnsi="Open Sans" w:cs="Open Sans"/>
          <w:color w:val="000000"/>
        </w:rPr>
      </w:pPr>
      <w:r>
        <w:rPr>
          <w:rFonts w:ascii="Open Sans" w:hAnsi="Open Sans" w:cs="Open Sans"/>
          <w:color w:val="000000"/>
        </w:rPr>
        <w:t> </w:t>
      </w:r>
    </w:p>
    <w:tbl>
      <w:tblPr>
        <w:tblW w:w="0" w:type="auto"/>
        <w:shd w:val="clear" w:color="auto" w:fill="FFFFFF"/>
        <w:tblCellMar>
          <w:left w:w="0" w:type="dxa"/>
          <w:right w:w="0" w:type="dxa"/>
        </w:tblCellMar>
        <w:tblLook w:val="04A0" w:firstRow="1" w:lastRow="0" w:firstColumn="1" w:lastColumn="0" w:noHBand="0" w:noVBand="1"/>
      </w:tblPr>
      <w:tblGrid>
        <w:gridCol w:w="2479"/>
        <w:gridCol w:w="6518"/>
      </w:tblGrid>
      <w:tr w:rsidR="00E655C1" w14:paraId="188722F5" w14:textId="77777777" w:rsidTr="00E655C1">
        <w:tc>
          <w:tcPr>
            <w:tcW w:w="0" w:type="auto"/>
            <w:shd w:val="clear" w:color="auto" w:fill="FFFFFF"/>
            <w:tcMar>
              <w:top w:w="180" w:type="dxa"/>
              <w:left w:w="180" w:type="dxa"/>
              <w:bottom w:w="180" w:type="dxa"/>
              <w:right w:w="180" w:type="dxa"/>
            </w:tcMar>
            <w:hideMark/>
          </w:tcPr>
          <w:p w14:paraId="134FB190"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Consultas de prensa</w:t>
            </w:r>
          </w:p>
        </w:tc>
        <w:tc>
          <w:tcPr>
            <w:tcW w:w="0" w:type="auto"/>
            <w:shd w:val="clear" w:color="auto" w:fill="FFFFFF"/>
            <w:tcMar>
              <w:top w:w="180" w:type="dxa"/>
              <w:left w:w="180" w:type="dxa"/>
              <w:bottom w:w="180" w:type="dxa"/>
              <w:right w:w="180" w:type="dxa"/>
            </w:tcMar>
            <w:hideMark/>
          </w:tcPr>
          <w:p w14:paraId="735BA3EC"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Representantes comerciales de Caterpillar para los medios</w:t>
            </w:r>
          </w:p>
          <w:p w14:paraId="1DAC80EF"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América</w:t>
            </w:r>
          </w:p>
          <w:p w14:paraId="7DDB0F63"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2" w:history="1">
              <w:r>
                <w:rPr>
                  <w:rStyle w:val="Hyperlink"/>
                  <w:rFonts w:ascii="Open Sans" w:hAnsi="Open Sans" w:cs="Open Sans"/>
                  <w:color w:val="2679B8"/>
                  <w:sz w:val="21"/>
                  <w:szCs w:val="21"/>
                  <w:shd w:val="clear" w:color="auto" w:fill="FFFFFF"/>
                </w:rPr>
                <w:t>Kenny_Kate@cat.com</w:t>
              </w:r>
            </w:hyperlink>
          </w:p>
          <w:p w14:paraId="57EA3C81"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Johanna Kelly: </w:t>
            </w:r>
            <w:hyperlink r:id="rId13" w:history="1">
              <w:r>
                <w:rPr>
                  <w:rStyle w:val="Hyperlink"/>
                  <w:rFonts w:ascii="Open Sans" w:hAnsi="Open Sans" w:cs="Open Sans"/>
                  <w:color w:val="2679B8"/>
                  <w:sz w:val="21"/>
                  <w:szCs w:val="21"/>
                </w:rPr>
                <w:t>Kelly_Johanna_L@cat.com</w:t>
              </w:r>
            </w:hyperlink>
          </w:p>
          <w:p w14:paraId="501FFE4C"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África y Oriente Medio</w:t>
            </w:r>
          </w:p>
          <w:p w14:paraId="766B96DA" w14:textId="77777777" w:rsidR="00E655C1" w:rsidRDefault="00E655C1">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4" w:history="1">
              <w:r>
                <w:rPr>
                  <w:rStyle w:val="Hyperlink"/>
                  <w:rFonts w:ascii="Open Sans" w:hAnsi="Open Sans" w:cs="Open Sans"/>
                  <w:color w:val="2679B8"/>
                  <w:sz w:val="21"/>
                  <w:szCs w:val="21"/>
                </w:rPr>
                <w:t>Shore_Francine_M@cat.com</w:t>
              </w:r>
            </w:hyperlink>
          </w:p>
        </w:tc>
      </w:tr>
    </w:tbl>
    <w:p w14:paraId="6A898EFC" w14:textId="77777777" w:rsidR="00DE0527" w:rsidRDefault="00DE0527" w:rsidP="00E655C1">
      <w:pPr>
        <w:tabs>
          <w:tab w:val="left" w:pos="0"/>
          <w:tab w:val="left" w:pos="720"/>
          <w:tab w:val="left" w:pos="1440"/>
          <w:tab w:val="left" w:pos="2160"/>
          <w:tab w:val="left" w:pos="2880"/>
          <w:tab w:val="left" w:pos="3600"/>
          <w:tab w:val="left" w:pos="4320"/>
        </w:tabs>
        <w:autoSpaceDE w:val="0"/>
        <w:autoSpaceDN w:val="0"/>
        <w:adjustRightInd w:val="0"/>
        <w:jc w:val="both"/>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7DB0F" w14:textId="77777777" w:rsidR="00C8042F" w:rsidRDefault="00C8042F">
      <w:r>
        <w:separator/>
      </w:r>
    </w:p>
  </w:endnote>
  <w:endnote w:type="continuationSeparator" w:id="0">
    <w:p w14:paraId="575CFBFE" w14:textId="77777777" w:rsidR="00C8042F" w:rsidRDefault="00C8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93429" w14:textId="77777777" w:rsidR="00C8042F" w:rsidRDefault="00C8042F">
      <w:r>
        <w:separator/>
      </w:r>
    </w:p>
  </w:footnote>
  <w:footnote w:type="continuationSeparator" w:id="0">
    <w:p w14:paraId="17A4CB3E" w14:textId="77777777" w:rsidR="00C8042F" w:rsidRDefault="00C80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8042F"/>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5921"/>
    <w:rsid w:val="00E655C1"/>
    <w:rsid w:val="00E92E2E"/>
    <w:rsid w:val="00E94CDD"/>
    <w:rsid w:val="00EA034A"/>
    <w:rsid w:val="00EB70EE"/>
    <w:rsid w:val="00ED6D28"/>
    <w:rsid w:val="00ED7D52"/>
    <w:rsid w:val="00F13708"/>
    <w:rsid w:val="00F60AAE"/>
    <w:rsid w:val="00F722C6"/>
    <w:rsid w:val="00F72908"/>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E655C1"/>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360096">
      <w:bodyDiv w:val="1"/>
      <w:marLeft w:val="0"/>
      <w:marRight w:val="0"/>
      <w:marTop w:val="0"/>
      <w:marBottom w:val="0"/>
      <w:divBdr>
        <w:top w:val="none" w:sz="0" w:space="0" w:color="auto"/>
        <w:left w:val="none" w:sz="0" w:space="0" w:color="auto"/>
        <w:bottom w:val="none" w:sz="0" w:space="0" w:color="auto"/>
        <w:right w:val="none" w:sz="0" w:space="0" w:color="auto"/>
      </w:divBdr>
    </w:div>
    <w:div w:id="751315020">
      <w:bodyDiv w:val="1"/>
      <w:marLeft w:val="0"/>
      <w:marRight w:val="0"/>
      <w:marTop w:val="0"/>
      <w:marBottom w:val="0"/>
      <w:divBdr>
        <w:top w:val="none" w:sz="0" w:space="0" w:color="auto"/>
        <w:left w:val="none" w:sz="0" w:space="0" w:color="auto"/>
        <w:bottom w:val="none" w:sz="0" w:space="0" w:color="auto"/>
        <w:right w:val="none" w:sz="0" w:space="0" w:color="auto"/>
      </w:divBdr>
    </w:div>
    <w:div w:id="1523399500">
      <w:bodyDiv w:val="1"/>
      <w:marLeft w:val="0"/>
      <w:marRight w:val="0"/>
      <w:marTop w:val="0"/>
      <w:marBottom w:val="0"/>
      <w:divBdr>
        <w:top w:val="none" w:sz="0" w:space="0" w:color="auto"/>
        <w:left w:val="none" w:sz="0" w:space="0" w:color="auto"/>
        <w:bottom w:val="none" w:sz="0" w:space="0" w:color="auto"/>
        <w:right w:val="none" w:sz="0" w:space="0" w:color="auto"/>
      </w:divBdr>
      <w:divsChild>
        <w:div w:id="1110508911">
          <w:marLeft w:val="0"/>
          <w:marRight w:val="0"/>
          <w:marTop w:val="0"/>
          <w:marBottom w:val="0"/>
          <w:divBdr>
            <w:top w:val="none" w:sz="0" w:space="0" w:color="auto"/>
            <w:left w:val="none" w:sz="0" w:space="0" w:color="auto"/>
            <w:bottom w:val="none" w:sz="0" w:space="0" w:color="auto"/>
            <w:right w:val="none" w:sz="0" w:space="0" w:color="auto"/>
          </w:divBdr>
          <w:divsChild>
            <w:div w:id="421951251">
              <w:marLeft w:val="0"/>
              <w:marRight w:val="0"/>
              <w:marTop w:val="0"/>
              <w:marBottom w:val="0"/>
              <w:divBdr>
                <w:top w:val="none" w:sz="0" w:space="0" w:color="auto"/>
                <w:left w:val="none" w:sz="0" w:space="0" w:color="auto"/>
                <w:bottom w:val="none" w:sz="0" w:space="0" w:color="auto"/>
                <w:right w:val="none" w:sz="0" w:space="0" w:color="auto"/>
              </w:divBdr>
            </w:div>
          </w:divsChild>
        </w:div>
        <w:div w:id="1229653615">
          <w:marLeft w:val="0"/>
          <w:marRight w:val="0"/>
          <w:marTop w:val="0"/>
          <w:marBottom w:val="0"/>
          <w:divBdr>
            <w:top w:val="none" w:sz="0" w:space="0" w:color="auto"/>
            <w:left w:val="none" w:sz="0" w:space="0" w:color="auto"/>
            <w:bottom w:val="none" w:sz="0" w:space="0" w:color="auto"/>
            <w:right w:val="none" w:sz="0" w:space="0" w:color="auto"/>
          </w:divBdr>
          <w:divsChild>
            <w:div w:id="141828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es_ES.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es_ES/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2.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3.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8</cp:revision>
  <cp:lastPrinted>2013-03-02T18:48:00Z</cp:lastPrinted>
  <dcterms:created xsi:type="dcterms:W3CDTF">2023-08-11T18:38:00Z</dcterms:created>
  <dcterms:modified xsi:type="dcterms:W3CDTF">2023-10-05T22:30:00Z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2023-10-05T22:30:10Z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13ba920f-e33c-4cfd-afac-4855aa6389dc</vt:lpwstr>
  </property>
  <property fmtid="{D5CDD505-2E9C-101B-9397-08002B2CF9AE}" pid="16" name="MSIP_Label_fb5e2db6-eecf-4aa2-8fc3-174bf94bce19_ContentBits">
    <vt:lpwstr>2</vt:lpwstr>
  </property>
</Properties>
</file>